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南银理财珠联璧合理财管理计划4号开放式公募人民币理财产品</w:t>
      </w:r>
    </w:p>
    <w:p>
      <w:pPr>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W w:w="8959"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894"/>
        <w:gridCol w:w="6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产品全称</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南银理财珠联璧合理财管理计划4号开放式公募人民币理财产品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7"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产品登记编码</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Z7003220000017（投资者可依据该编码在中国理财网www.chinawealth.com.cn查询理财产品相关信息）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产品运作方式</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产品成立日</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2020年10月22日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报告期末产品份额总额</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2,987,197,833.96份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合作机构</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万家基金管理有限公司,中粮信托有限责任公司,中诚信托有限责任公司,天弘基金管理有限公司,平安基金管理有限公司,广发基金管理有限公司,招商基金管理有限公司,永赢基金管理有限公司,鑫沅资产管理有限公司,易方达基金管理有限公司,景顺长城基金管理有限公司,交银施罗德基金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产品管理人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3" w:hRule="atLeast"/>
        </w:trPr>
        <w:tc>
          <w:tcPr>
            <w:tcW w:w="2894"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产品托管人</w:t>
            </w:r>
          </w:p>
        </w:tc>
        <w:tc>
          <w:tcPr>
            <w:tcW w:w="6065" w:type="dxa"/>
            <w:vAlign w:val="center"/>
          </w:tcPr>
          <w:p>
            <w:pPr>
              <w:snapToGrid/>
              <w:spacing w:before="48" w:beforeLines="20" w:after="48" w:afterLines="20"/>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主要财务指标和产品业绩比较基准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296"/>
        <w:gridCol w:w="2705"/>
        <w:gridCol w:w="2030"/>
        <w:gridCol w:w="2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简体" w:eastAsia="方正仿宋简体"/>
                <w:sz w:val="24"/>
                <w:szCs w:val="24"/>
              </w:rPr>
            </w:pPr>
            <w:r>
              <w:rPr>
                <w:rFonts w:hint="eastAsia" w:ascii="方正仿宋简体" w:eastAsia="方正仿宋简体"/>
                <w:sz w:val="24"/>
                <w:szCs w:val="24"/>
              </w:rPr>
              <w:t>内部销售代码</w:t>
            </w:r>
          </w:p>
        </w:tc>
        <w:tc>
          <w:tcPr>
            <w:tcW w:w="6771" w:type="dxa"/>
            <w:gridSpan w:val="3"/>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报告期（2024年10月01日 - 2024年12月31日）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简体" w:eastAsia="方正仿宋简体"/>
                <w:sz w:val="24"/>
                <w:szCs w:val="24"/>
              </w:rPr>
            </w:pPr>
          </w:p>
        </w:tc>
        <w:tc>
          <w:tcPr>
            <w:tcW w:w="270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030"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036"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2,909,459,888.75</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1.1604</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1.1604</w:t>
            </w:r>
          </w:p>
        </w:tc>
      </w:tr>
      <w:tr>
        <w:trPr>
          <w:trHeight w:val="557" w:hRule="atLeast"/>
          <w:jc w:val="center"/>
        </w:trPr>
        <w:tc>
          <w:tcPr>
            <w:tcW w:w="229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705"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558,279,230.10</w:t>
            </w:r>
          </w:p>
        </w:tc>
        <w:tc>
          <w:tcPr>
            <w:tcW w:w="2030"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1.1631</w:t>
            </w:r>
          </w:p>
        </w:tc>
        <w:tc>
          <w:tcPr>
            <w:tcW w:w="2036" w:type="dxa"/>
            <w:vAlign w:val="center"/>
            <w:vAlign w:val="center"/>
          </w:tcPr>
          <w:p>
            <w:pPr>
              <w:spacing w:before="48" w:beforeLines="20" w:after="48" w:afterLines="20" w:line="360" w:lineRule="auto"/>
              <w:jc w:val="center"/>
              <w:textAlignment w:val="center"/>
              <w:rPr>
                <w:rFonts w:ascii="方正仿宋简体" w:eastAsia="方正仿宋简体"/>
                <w:sz w:val="24"/>
                <w:szCs w:val="24"/>
              </w:rPr>
            </w:pPr>
            <w:r>
              <w:rPr>
                <w:rFonts w:ascii="方正仿宋简体" w:hAnsi="方正仿宋简体" w:cs="方正仿宋简体" w:eastAsia="方正仿宋简体"/>
                <w:sz w:val="24"/>
              </w:rPr>
              <w:t>1.1631</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 产品业绩比较基准</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2.2.1本报告期产品业绩比较基准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4485"/>
        <w:gridCol w:w="2095"/>
        <w:gridCol w:w="23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48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阶段</w:t>
            </w:r>
          </w:p>
        </w:tc>
        <w:tc>
          <w:tcPr>
            <w:tcW w:w="2095"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2322" w:type="dxa"/>
            <w:vAlign w:val="center"/>
          </w:tcPr>
          <w:p>
            <w:pPr>
              <w:snapToGrid/>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业绩比较基准</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Z11005</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8.86%</w:t>
            </w:r>
          </w:p>
        </w:tc>
      </w:tr>
      <w:tr>
        <w:trPr>
          <w:jc w:val="center"/>
        </w:trPr>
        <w:tc>
          <w:tcPr>
            <w:tcW w:w="448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2024年10月01日 - 2024年12月31日</w:t>
            </w:r>
          </w:p>
        </w:tc>
        <w:tc>
          <w:tcPr>
            <w:tcW w:w="2095"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Z11006</w:t>
            </w:r>
          </w:p>
        </w:tc>
        <w:tc>
          <w:tcPr>
            <w:tcW w:w="2322" w:type="dxa"/>
            <w:vAlign w:val="center"/>
            <w:vAlign w:val="center"/>
          </w:tcPr>
          <w:p>
            <w:pPr>
              <w:snapToGrid/>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8.86%</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r>
        <w:rPr>
          <w:rFonts w:hint="eastAsia" w:ascii="方正仿宋简体" w:eastAsia="方正仿宋简体"/>
          <w:b/>
          <w:sz w:val="24"/>
          <w:szCs w:val="24"/>
        </w:rPr>
        <w:tab/>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全年来看，国内经济整体呈现终端需求偏弱的状态，对经济支撑较强的主要是出口、制造业投资以及基建投资，拖累较重的主要是房地产投资和消费。货币政策整体维持宽松，两次降息两次降准。海外通胀压力缓解，整体进入降息周期，美国经济依然较为强劲，非美经济体增速高位回落。</w:t>
        <w:br w:type="textWrapping" w:clear="all"/>
      </w:r>
      <w:r>
        <w:rPr>
          <w:rFonts w:hint="eastAsia" w:ascii="方正仿宋简体" w:eastAsia="方正仿宋简体"/>
          <w:sz w:val="24"/>
          <w:szCs w:val="24"/>
        </w:rPr>
        <w:t>  市场方面，国内债牛波澜壮阔，利率债仅出现短时间的调整，其余时间收益率均持续下行，其中10年国债收益率突破1.7%，创历史新低，年度下行幅度也是2014年以来最大。权益市场则一波三折，风险偏好随着政策预期反复摇摆，全年走出W走势，沪深300指数结束年线三连阴，全年上涨14.7%。</w:t>
        <w:br w:type="textWrapping" w:clear="all"/>
      </w:r>
      <w:r>
        <w:rPr>
          <w:rFonts w:hint="eastAsia" w:ascii="方正仿宋简体" w:eastAsia="方正仿宋简体"/>
          <w:sz w:val="24"/>
          <w:szCs w:val="24"/>
        </w:rPr>
        <w:t>  展望2025年，在海外不确定性增大的背景下，外需存在较大的下行风险，内需将是支撑经济的重点，年末的中央经济会议也提出了促进消费、加大财政支出力度、促进两新、两重等。在适度宽松的货币政策基调下，流动性预计较为充裕，基本面对债市仍有支撑，但在低利率环境下，债市的波动预计将有所加剧。投资上在把握债券票息收益的基础上，积极寻找增厚产品收益的投资机会，努力实现净值的稳步增长。</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  本产品主要投向具有良好流动性的金融工具（包括但不限于国内依法发行的债券和证券投资基金等），并对标的进行分散化投资，防范流动性风险。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截至报告期末，本产品Z11005份额净值为1.1604元，Z11006份额净值为1.1631元。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DQCKX202405170003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中国银行定期存款20240517</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5.77</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ZJQTT202308250001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中粮信托-鼎兴5号集合资金信托计划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140,242,617.83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ZJQTT202407120002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中粮信托·丰利1号集合资金信托计划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102,196,745.56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032280039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22栖霞山PPN001(项目收益)</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100,546,900.00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DQCKX202405100002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DQCKX202405100003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中国银行定期存款20240510C</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XJCKX202406120002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浦发银行南京分行活期存款（约期）20240612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招商基金-安鑫2号集合资产管理计划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87,279,917.38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XJCKX202212020001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70,269,407.43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177681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21滨新01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6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6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1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5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4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100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6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6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52"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1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5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4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00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6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69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6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0120060000000472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南京银行理财管理计划4号</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napToGrid/>
        <w:spacing w:before="240" w:after="72" w:line="360" w:lineRule="auto"/>
        <w:ind w:firstLine="480" w:firstLineChars="200"/>
        <w:jc w:val="both"/>
        <w:rPr>
          <w:rFonts w:hint="eastAsia" w:ascii="方正仿宋简体" w:eastAsia="方正仿宋简体"/>
          <w:sz w:val="24"/>
          <w:szCs w:val="24"/>
        </w:rPr>
      </w:pPr>
      <w:r>
        <w:rPr>
          <w:rFonts w:hint="eastAsia" w:ascii="方正仿宋简体" w:eastAsia="方正仿宋简体"/>
          <w:sz w:val="24"/>
          <w:szCs w:val="24"/>
        </w:rPr>
        <w:t>产品投资于</w:t>
      </w:r>
      <w:bookmarkStart w:id="0" w:name="_GoBack"/>
      <w:bookmarkEnd w:id="0"/>
      <w:r>
        <w:rPr>
          <w:rFonts w:hint="eastAsia" w:ascii="方正仿宋简体" w:eastAsia="方正仿宋简体"/>
          <w:sz w:val="24"/>
          <w:szCs w:val="24"/>
        </w:rPr>
        <w:t>关联方作为融资人的非标准化债权类资产业务交易金额0.00元。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产品投资关联方作为管理人的资产管理产品交易金额50,000,000.00元。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产品支付关联方托管费266,530.84元，支付关联方代销费0.00元。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产品发生其他关联交易金额0.00元。</w:t>
      </w:r>
    </w:p>
    <w:p>
      <w:pPr>
        <w:snapToGrid/>
        <w:spacing w:before="240" w:after="72" w:line="360" w:lineRule="auto"/>
        <w:ind w:firstLine="480" w:firstLineChars="200"/>
        <w:jc w:val="both"/>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2024年12月31日</w:t>
      </w: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Consolas">
    <w:panose1 w:val="020B0609020204030204"/>
    <w:charset w:val="00"/>
    <w:family w:val="auto"/>
    <w:pitch w:val="default"/>
    <w:sig w:usb0="E10002FF" w:usb1="4000FCFF" w:usb2="00000009" w:usb3="00000000" w:csb0="6000019F" w:csb1="DFD7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WYyNWQ5MDZiYWM3OWVhN2E1ZmU3ZDVmOTg3Nzk4MzgifQ=="/>
  </w:docVars>
  <w:rsids>
    <w:rsidRoot w:val="005A7904"/>
    <w:rsid w:val="000044BE"/>
    <w:rsid w:val="000121D1"/>
    <w:rsid w:val="00012B94"/>
    <w:rsid w:val="00012CAC"/>
    <w:rsid w:val="000203D8"/>
    <w:rsid w:val="000215AD"/>
    <w:rsid w:val="00063EA9"/>
    <w:rsid w:val="00072345"/>
    <w:rsid w:val="00097C35"/>
    <w:rsid w:val="000B288D"/>
    <w:rsid w:val="000B2B7B"/>
    <w:rsid w:val="000B4524"/>
    <w:rsid w:val="000C61EE"/>
    <w:rsid w:val="00106906"/>
    <w:rsid w:val="0012494A"/>
    <w:rsid w:val="0013793E"/>
    <w:rsid w:val="00137D06"/>
    <w:rsid w:val="001421A0"/>
    <w:rsid w:val="0015692D"/>
    <w:rsid w:val="001765C7"/>
    <w:rsid w:val="0018311F"/>
    <w:rsid w:val="00210CF6"/>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3323A"/>
    <w:rsid w:val="00650C13"/>
    <w:rsid w:val="006754C1"/>
    <w:rsid w:val="0067684D"/>
    <w:rsid w:val="00676A68"/>
    <w:rsid w:val="0068398A"/>
    <w:rsid w:val="00693399"/>
    <w:rsid w:val="00695491"/>
    <w:rsid w:val="006C7930"/>
    <w:rsid w:val="007120E8"/>
    <w:rsid w:val="00714095"/>
    <w:rsid w:val="00717310"/>
    <w:rsid w:val="007347EF"/>
    <w:rsid w:val="007363F8"/>
    <w:rsid w:val="00751294"/>
    <w:rsid w:val="007620E9"/>
    <w:rsid w:val="00766941"/>
    <w:rsid w:val="007672C3"/>
    <w:rsid w:val="00794F8E"/>
    <w:rsid w:val="007C0575"/>
    <w:rsid w:val="007C36B2"/>
    <w:rsid w:val="007C3F1F"/>
    <w:rsid w:val="007C7DC4"/>
    <w:rsid w:val="007D7CB7"/>
    <w:rsid w:val="007E0C90"/>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CA4CDA"/>
    <w:rsid w:val="00D038A1"/>
    <w:rsid w:val="00D21AF8"/>
    <w:rsid w:val="00D35825"/>
    <w:rsid w:val="00D36374"/>
    <w:rsid w:val="00D45351"/>
    <w:rsid w:val="00D83890"/>
    <w:rsid w:val="00D95925"/>
    <w:rsid w:val="00DB25C1"/>
    <w:rsid w:val="00DB5077"/>
    <w:rsid w:val="00DD60D3"/>
    <w:rsid w:val="00DE5E66"/>
    <w:rsid w:val="00DE6F49"/>
    <w:rsid w:val="00E022D1"/>
    <w:rsid w:val="00E06F91"/>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32571F"/>
    <w:rsid w:val="0CC420DD"/>
    <w:rsid w:val="1FC4188E"/>
    <w:rsid w:val="35136ADD"/>
    <w:rsid w:val="4D550AEB"/>
    <w:rsid w:val="509470EC"/>
    <w:rsid w:val="59E74023"/>
    <w:rsid w:val="5EBA334B"/>
    <w:rsid w:val="654F116F"/>
    <w:rsid w:val="67344534"/>
    <w:rsid w:val="6B00012E"/>
    <w:rsid w:val="702871A7"/>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Lines="30"/>
    </w:pPr>
    <w:rPr>
      <w:rFonts w:ascii="Times New Roman" w:hAnsi="Times New Roman" w:eastAsia="宋体" w:cs="Times New Roman"/>
      <w:kern w:val="2"/>
      <w:sz w:val="21"/>
      <w:szCs w:val="22"/>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346</Words>
  <Characters>1974</Characters>
  <Lines>16</Lines>
  <Paragraphs>4</Paragraphs>
  <ScaleCrop>false</ScaleCrop>
  <LinksUpToDate>false</LinksUpToDate>
  <CharactersWithSpaces>2316</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2022-07-23T09:20:00Z</dcterms:created>
  <dc:creator>演示人</dc:creator>
  <cp:lastModifiedBy>兆尹科技</cp:lastModifiedBy>
  <dcterms:modified xsi:type="dcterms:W3CDTF">2024-02-05T03:10:37Z</dcterms:modified>
  <cp:revision>124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DA7D07A671F94F61B430BF557E8AE20F</vt:lpwstr>
  </property>
</Properties>
</file>